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玉山县公共租赁住房管理实施细则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shd w:val="clear" w:fill="FFFFFF"/>
          <w:lang w:val="en-US" w:eastAsia="zh-CN" w:bidi="ar"/>
        </w:rPr>
        <w:t>第一章</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为切实保障城镇住房困难群体基本住房需求，规范公共租赁住房管理工作</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坚持实物保障与租赁补贴并举，逐步建立满足困难群众多样化居住需求的住房保障体系，根据《公共租赁住房管理办法》（住建部令第</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号）、《住房和城乡建设部国家发展改革委财政部自然资源部关于进一步规范发展公租房的意见》（建保〔</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55</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号）、《关于进一步加强公共租赁住房管理工作的意见》（赣建保〔</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2016</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号）及《关于加强城镇保障性住房管理工作的指导意见》（赣建字〔</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号）、《上饶市公共租赁住房管理实施细则》（饶府办发〔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号）等文件规定，结合我县住房保障发展实际，制定本实施细则。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ascii="楷体_GB2312" w:hAnsi="Times New Roman" w:eastAsia="楷体_GB2312" w:cs="楷体_GB2312"/>
          <w:i w:val="0"/>
          <w:iCs w:val="0"/>
          <w:caps w:val="0"/>
          <w:color w:val="333333"/>
          <w:spacing w:val="0"/>
          <w:kern w:val="0"/>
          <w:sz w:val="32"/>
          <w:szCs w:val="32"/>
          <w:shd w:val="clear" w:fill="FFFFFF"/>
          <w:lang w:val="en-US" w:eastAsia="zh-CN" w:bidi="ar"/>
        </w:rPr>
        <w:t>第一条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本细则所称公共租赁住房，是指限定建设标准和租金水平，面向符合规定条件的城镇中低收入住房困难家庭以及新就业无房职工、在城镇稳定就业外来务工人员出租的保障性住房。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公共租赁住房分为实物配租和租赁补贴两种保障方式。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县住房和城乡建设局负责全县公共租赁住房管理相关政策的制订，对全县公共租赁住房管理工作进行指导和监督。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负责本县城内的公共租赁住房建设、准入、分配、使用、退出、运营管理及租赁补贴的核查发放，审核申请人及共同申请的家庭成员房产交易网签备案和是否享受其他住房保障政策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县财政局负责将公共租赁住房管理所需工作经费列入财政年度预算，并对资金使用情况进行监管。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民政部门负责会同相关部门核对申请家庭收入和财产状况， 审核申请人婚姻登记状况、是否享有社会救助等情况。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自然资源部门负责审核申请人及共同申请的家</w:t>
      </w:r>
      <w:bookmarkStart w:id="0" w:name="_GoBack"/>
      <w:bookmarkEnd w:id="0"/>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庭成员房产（包括住宅和非住宅等）情况。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公安机关负责审核申请人家庭人口和申请人及共同申请的家庭成员户籍登记、居住证、车辆情况。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人力资源和社会保障部门负责提供申请人各项社会保障缴纳信息，并核实工资收入。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退役军人事务部门负责审核申请人是否享受优抚情况。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市场监督管理部门负责提供申请人从事个体工商或投资办企业等登记信息。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税务部门负责提供申请人相关的完税信息。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住房公积金部门负责提供申请人相关的住房公积金信息。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金融机构在符合查询条件的情况下，配合查询申请人存款账户、有价证券、理财产品、贵金属、保险等金融资产信息。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乡镇人民政府（街道办事处）及社区居委会配合县城乡建设发展服务中心做好申请人家庭人口、收入、财产、住房情况核实和住房保障资格初审工作。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第二章 房源筹集与资金使用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公共租赁住房房源可通过政府投资新建、改建或收购、在安置房建设及商品房开发中配建、各类企业以及其他投资主体建设等方式多渠道筹集。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公共租赁住房筹集应当充分考虑保障对象就业、就医、就学、出行等需要，安排交通便利、配套设施齐全地段。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公共租赁住房可以是成套住房，也可以是宿舍型住房，基本功能要齐全，严格控制面积标准和装修标准，单套建筑面积控制在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60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公共租赁住房房源筹集和租赁补贴资金来源主要包括：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（一）中央和省安排的专项补助资金；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（二）当地财政年度预算安排的资金；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（三）提取贷款风险准备金和管理费用后的住房公积金增值</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收益余额；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（四）每年提取土地出让净收益一定比例的资金；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（五）出租公共租赁住房及配套设施回收的资金；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（六）经政府批准可纳入公共租赁住房筹集使用范围的其他资金。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乡镇人民政府（街道办事处）、县直各单位、各投资企业要统筹各项资金用于公共租赁住房房源筹集。公共租赁住房租金收入专项用于房源筹集、租赁补贴发放、偿还公共租赁住房贷款本息及维修养护、管理等。县城乡建设发展服务中心负责租赁补贴审核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政府建设公共租赁住房租金收入、经营性收入以及由此产生的滞纳金、违约金、罚金、利息等收入全额缴入同级国库，实行</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收支两条线</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管理。各类企事业单位和其他机构投资建设的公共租赁住房，其租金收入和其它各项营业性收入归投资者所有。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各公共租赁住房管理机构，在收取公共租赁住房租金收入、经营性收入时，必须使用合法票据，未出具合法票据的，承租人有权拒绝缴款。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第三章 保障对象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公共租赁住房的申请对象：家庭人均收入低于上年度城镇人均可支配收入一定系数（最高不超过</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倍），且人均住房建筑面积在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平方米以下的低收入住房困难家庭、城镇中等偏下收入住房困难家庭以及新就业无房职工、在城镇稳定就业外来务工人员纳入公共租赁住房保障范围。进城创业人员注册资本金不高于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万元人民币。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（一）低收入住房困难家庭，是指持有冰溪街道城镇户籍，由县民政部门根据相关规定认定的城镇特困人员、城镇最低生活保障对象、支出型贫困等低收入家庭，且在当地无住房或住房面积低于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平方米的家庭。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（二）城镇中等偏下收入住房困难家庭，是指持有当地城镇户籍、家庭人均收入低于当地城镇人均可支配收入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倍、且在当地无住房或住房面积低于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平方米的家庭。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（三）新就业无房职工，是指持有当地合法有效的居住证或</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当地城镇户籍、人均收入低于当地城镇人均可支配收入 1.5 倍、在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当地无住房，且自全日制大中专院校毕业三年内在当地首次就业，正常缴存社会保险或公积金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个月以上的职工。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（四）城镇稳定就业的外来务工人员，是指持有本地合法有效的居住证、人均收入低于当地城镇人均可支配收入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倍、在当地无住房且稳定就业、正常缴存社会保险或公积金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具有当地户籍的单身居民以及新就业无房职工、在城镇稳定就业外来务工人员等申请公共租赁住房，须男年满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周岁，女年满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（五）公共租赁住房中的廉租住房申请条件：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、玉山县冰溪街道非农业户口居民；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、无房户或拥有私人住房，家庭人均私有住房建筑面积在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15m2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、家庭人均年收入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11000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、申请家庭成员之间有法定的赡养或者扶养关系；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、男年满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周岁，女年满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周岁的未婚子女可随父母一同申报，也可单独申报，年龄计算时间截止到申报前一年度的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、离异家庭子女按离婚协议及法院调解、判决书、子女随共同生活的父母一方申报，非共同生活的不能将子女作为家庭成员申报。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公共租赁住房分不同对象实行分类保障。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对城镇特困人员、城镇最低生活保障对象、支出型贫困等低收入家庭实行应保尽保；对城镇中等偏下收入住房困难家庭在合理的轮候期内给予保障；对新就业无房职工、在城镇稳定就业外来务工人员给予阶段性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对符合保障条件的孤老病残、优抚对象、退役军人、计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划生育特困家庭、进城农村建档立卡贫困人员等对象，实行优先实物保障，并对残疾人家庭在楼层等方面给予照顾。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政府引进的特殊专业人才和省级以上劳模、荣立二等功以上的复转军人住房困难对象不受收入标准线限制。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县住房和城乡建设局根据本地经济社会发展水平、居民收入和住房状况合理确定，定期调整公共租赁住房准入标准，报县人民政府批准并向社会公布。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具有下列情形之一的，不属于公共租赁住房保障范围：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（一）截至申请之日三年内通过出售、赠予、离婚析产、继承等方式转让过位于本行政区域内房产的（支出型贫困低收入家庭因破产或支出的不受时间限制）；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（二）已享受过住廉租补贴等住房保障政策的；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（三）正在承租公共租赁住房或离婚时放弃公共租赁住房承租权未满三年的；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（四）截至申请之日三年内领取的征收安置补偿款不超过</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万元人民币的或可以在当地按揭买到适宜面积住房的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（五）拥有营业用房、办公用房、生产用房的（不限面积）；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（六）持有排气量超过</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1.6L</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（不含）或新车购置价在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万元以上的消费型车辆的（以购车发票为准），二手车以新车购置价为准；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（七）其他不符合住房保障规章和政策性文件规定的情形。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第四章 申请与审核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实行常态化申请、分批审核、分级审批、动态管理。县城乡建设发展服务中心将《玉山县公共租赁住房申请、评议表》和申请提交资料清单等在政府官网、赣服通或微信公众号等平台上公布供申请人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本地城镇户籍家庭向居住地社区居委会提出申请，新就业无房职工及在城镇稳定就业外来务工人员可个人向居住地社区居委会提出申请，也可由所在单位统一向单位地址所在社区居委会提出申请。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申请公共租赁住房，应分别提供相关材料。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（一）城镇居民家庭应当提供以下证件材料</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身份证、户口簿及婚姻证明（未婚提供未婚申明）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家庭收入情况个人承诺书和授权查询委托书</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城镇特困人员、城镇最低生活保障对象、支出型贫困等低收入家庭提供民政部门认定的相关证明。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（二）新就业无房职工应当提供以下证件材料</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身份证、居住证及婚姻证明（未婚提供未婚申明）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全日制大中专院校毕业证书；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劳动合同（至申请日仍有未执行合同期</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收入情况承诺书和授权查询委托书</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连续</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个月以上缴存社会保险或住房公积金等材料。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（三）在城镇稳定就业外来务工人员应当提供以下证件材料：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身份证、居住证及婚姻证明（未婚提供未婚申明）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劳动合同（至申请日仍有未执行合同期一年以上）；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收入情况承诺书和授权查询书</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连续</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个月以上缴存社会保险或住房公积金等材料。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xml:space="preserve">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公共租赁住房准入严格实行</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三级审核、三榜公示</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制度。具体程序为</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（一）初审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社区居委会负责公共租赁住房的申请受理和初审工作。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工作人员应现场对申请人提交的申请材料进行审核，申请材料不齐全的，应当一次性书面告知申请人需要补正的材料。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受理申请后，社区居委会应当在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20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个工作日内就申请人的家庭人口、收入、财产、住房状况，采取入户调查、邻里访问等方式进行调查核实，提出初审意见。初审不符合条件的，书面通知申请人，并说明理由。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对符合条件的申请人，社区居委会应在社区公示栏予以公示，公示时间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天。公示无异议的申请人材料报送各乡镇政府（街道办）审核。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（二）复审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乡镇政府（街道办）负责公共租赁住房申请的复审工作。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收到社区居委会报送的申请人材料后，应当在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个工作日内对上报材料的真实性和有效性进行审查，采取走访调查、信函索证等方式进行调查核实，提出审核意见。审核不符合条件的，书面通知申请人，并说明理由。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审核符合条件的，在乡镇政府（街道办）公示栏进行公示，公示时间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天。经公示无异议或异议不成立的，乡镇政府（街道办）将审核意见及申报材料一并报县城乡建设发展服务中心。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（三）终审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县城乡建设发展服务中心负责公共租赁住房申请的终审工作。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县城乡建设发展服务中心收到申报材料后，应当在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个工作日内将申请人信息推送至相关部门审查申请人的财产状况。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相关部门在收到县城乡建设发展服务中心推送的资料后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个工作日内，完成对申请人相关情况核查，并出具书面核查意见。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各相关审核部门信息数据要与县城乡建设发展服务中心共享协查，提高申请审核效率。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经核查不符合条件的，县城乡建设发展服务中心应书面告知当事人并说明理由。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经核查符合条件的，县城乡建设发展服务中心在政务信息公开平台及或玉山融媒体进行名单公示，公示时间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天。公示期内无异议的，予以确认为符合公共租赁住房保障家庭资格。有异议的，城乡建设发展服务中心应当会同相关部门进行复核，并在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个工作日内将复核结果书面告知申请人。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符合公共租赁住房保障条件的对象可根据实际情况，自主选择实物配租或租赁补贴方式。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第五章 实物配租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公共租赁住房实物配租实行轮候制度，轮候期限由县城乡建设发展服务中心根据本地区公共租赁住房房源情况确定，并向社会公布。轮候期限一般不</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超过 三年，轮候期内以租赁补贴形式予以保障。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县城乡建设发展服务中心应按照保障对象申报时间先后确定轮候顺序。同一时间提出申请的，可根据家庭收入和住房状况由低到高排序。条件相同的，采取随机摇号等方法确定轮候顺序。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申请人家庭在轮候期间，其住房、收入、财产等情况发生变化，不符合申请条件的，应主动如实向县城乡建设发展服务中心申报，并申请退出轮候。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县城乡建设发展服务中心应当根据房源供应情况和轮候顺序，分期、分批组织申请人参加公开摇号，并向申请人发出书面通知。摇号结果在相关媒体和街道、社区、用人单位等地公布。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公共租赁住房租金，按照套型建筑面积计收。租金标准根据住房租赁市场情况实行动态调整，由县住房和城乡建设局确定后报同级发改部门审批，并向社会公布。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第二十三条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公共租赁住房租金标准应低于同地段同档次普通商品住房市场租金，一般不高于市场租金的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第二十四条</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府建设并运营管理的公共租赁住房，应根据保障对象的支付能力实行差别化租金。对城镇特困人员、城镇最低生活保障对象、支出型贫困等低收入家庭，执行廉租住房租金标准。对中等偏下收入住房困难家庭以及新就业无房职工、在城镇稳定就业外来务工人员，执行公共租赁住房租金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第二十五</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对已承租的公共租赁住房城镇孤（孤儿）、寡（未领取社保金的孤寡老人）、病（重大疾病患者）、残（一、二级残疾且无生活自理能力）等特困家庭给予租金减免收取。经县城乡建设发展服务中心审核符合租金减免家庭的，报县人民政府盖章备案，并公开公示，公示时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天。公示期内无异议的，予以确认为符合公共租赁住房租金减免家庭资格，由县城乡建设发展服务中心出具租金减免认定并办理租金减免手续。有异议的，县城乡建设发展服务中心应当会同相关部门进行复核，并在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个工作日内将复核结果书面告知申请人。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承租人租住公共租赁住房，应当与县城乡建设发展服务中心或受委托的公共租赁住房管理机构签订书面租赁合同。实物配租合同签订期限一般不得超过三年。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第二十七条</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租赁期满需要续租的，承租人应当在租赁期满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个月前向县城乡建设发展服务中心提出申请，经审核符合条件的，由县城乡建设发展服务中心或公共租赁住房管理机构和承租人续签合同。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第二十八条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承租人应在签订合同时一次性交纳一年租金和其他费用并按期缴纳租金和其他费用。逾期未缴纳的，县保障性住房管理办公室应当根据逾期时间可采取下列措施</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（一）要求补缴租金和其他费用并按约定比例收取违约金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（二）解除合同，责令其退出公共租赁住房</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（三）将违约信息记入个人或单位的住房保障信用档案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（四）通过司法途径追缴租金、其他费用及违约金，并强制执行收回公共租赁住房。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第二十九条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承租人应当按照合同约定的租赁用途和使用要求合理使用房屋，因使用不当等原因造成承租房屋和设施损坏的，承租人应当负责修复或承担赔偿责任。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第六章 租赁补贴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租赁补贴根据保障对象的支付能力和住房困难程度，实行分层级差别化的租赁补贴政策。城镇特困人员、城镇最低生活保障对象、支出型贫困等低收入家庭，发放比例为</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100%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；城镇中等偏下收入住房困难家庭以及新就业无房职工、在城镇稳定就业外来务工人员等新市民发放比例为不低于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。根据本地经济发展水平、房地产市场状况、政府财政承受能力及住房保障对象需求等因素，廉租住房补贴标准实行动态管理，定期调整，并向社会公布。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租赁补贴保障面积标准为人均</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平方米，每户最高不超过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平方米；单身的居民、职工或城镇稳定就业的外来务工人员为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平方米，超出部分由住房保障对象自行承担。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租赁补贴发放最高限额为</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600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月，超过最高标准按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600 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月核发，不超过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600 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月按实际核算情况发放。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计算公式为：户租赁补贴金额＝（</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平方米</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人均住房所有权建筑面积）</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单位面积补贴标准</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保障人数</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发放比例。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租赁补贴的申请和审核程序按本细则第十七条执行。申请人除提交本细则第十六条所列材料外，须提交房屋租赁合同、租金支付凭证等材料。租赁补贴为当年申请、当年审核，当年发放。租赁补贴自审核合格后当年发放，按季度、半年或年度发放，在每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12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日前完成年度最后一次租赁补贴的核发。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保障性住房管理办公室应按户建立租赁补贴档案，每年对补贴发放家庭的人口、收入、住房、财产等情况进行复核。对不再符合租赁补贴保障条件的家庭，应终止发放租赁补贴。对骗取、套取住房租赁补贴的，要依法依规进行追缴。领取租赁补贴期间获得实物配租的，配租入住后的下一个月起停止发放租赁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县保障性住房管理办公室应做好租赁补贴申请材料的受理、审核工作，提高补贴发放资格</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审核的准确性。县财政部门根据审核结果，及时拨付租赁补贴资金，并对资金使用情况履行监管职责。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第七章 使用与退出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保障对象家庭因就业、婚姻、生育、死亡致人口变化或收入变化，可向县保障性住房管理办公室申请调整共同申请人，重新进行住房保障资格认定，每个申请家庭每年限申请一次。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未成年子女与父母共同租住公共租赁住房后，因子女成年后就业、婚姻等变化致家庭财产、收入情况变化，子女可以申请单独退出公共租赁住房保障范围，原家庭成员可调整保障标准继续居住。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因就业、子女就学等原因，承租人需要调换公共租赁住房，向县保障性住房管理办公室或管理单位提出申请。经同意，承租人之间可以自愿互换所承租的公共租赁住房。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承租人有下列情形之一的，应当退回或腾退公共租赁住房</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（一）以欺骗等不正当手段承租公共租赁住房的；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（二）家庭的收入、财产、住房等情况发生变化，不再符合住房保障条件的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（三）转租、转借或擅自调换承租的公共租赁住房的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（四）合同期满，未重新签订续租合同的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（五）擅自改变承租的公共租赁住房用途的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（六）在公共租赁住房内从事违法活动的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（七）租赁期内，承租人已离开或迁出行政区域内，未实际居住公共租赁住房的；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（八）无正当理由连续</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个月以上闲置公共租赁住房或累计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个月以上未缴纳租金、物业费等相关费用，经催告仍不缴纳的；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（九）破坏承租住房，拒不恢复原状的或不当使用造成重大损失的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公共租赁住房规章和政策文件规定的其他情形。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第三十九条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承租人应当向县城乡建设发展服务中心如实申报家庭人口、收入、财产和住房变化等情况。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城乡建设发展服务中心会同民政等相关部门定期对保障对象资格进行复核，对不符合保障条件的取消其保障资格，并书面告知当事人。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当事人对取消保障资格有异议的，可在书面通知送达后</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个工作日内提出申诉，县城乡建设发展服务中心应当会同民政等相关部门对申诉事项进行复核，并在 </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个工作日内将复核结果书面通知当事人。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当事人对复核决定仍有异议的，可向县人民政府或市住房和城乡建设主管部门申请行政复议，或者依法向人民法院提起行政诉讼。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承租人在租赁合同期满或终止后，不符合租住条件但暂时无法退回或腾退的，可以给予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3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个月过渡期，租金按同区位、同品质住房市场租金水平计收。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承租人应当腾退公共租赁住房但拒不腾退的，县城乡建设发展服务中心可申请人民法院强制执行并纳入住房保障信用档案。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第八章 运营管理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按照县发改委物价部门公布的租金标准收取租金，统一收取后上缴财政部门。其中政府产权部分的租金，由经济技术开发区、产业园区和企业管理部门统一收取后上缴财政部门。企业经营有困难的，经报县人民政府批准，县发改委物价部门审批，租金标准可在政府公布的租金标准的基础上适当下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各乡镇人民政府（街道办事处）、县直各单位等建设的公共租赁住房，其租金标准由县发改委物价部门根据具体情况确定。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乡镇人民政府（街道办事处）、县直各单位建设的公共租赁住房申请审核，按照所属原则，实行自行管理，统但一纳入县住房和城乡建设局监管，即投资主体对公共租赁住房申请进行审核，报县住房和城乡建设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公共租赁住房的管理，应积极推行市场化运行，可引进社会信誉好的物业服务企业提供专业化的物业服务。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第四十五条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物业服务费标准由县城乡建设发展服务中心或公共租赁住房管理机构与物业服务企业根据项目规模、物业服务内容及其服务质量等因素在物业服务合同中明确约定。承租人按照物业服务合同约定按时足额交纳物业服务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承租人退出公共租赁住房时，应当保持房屋和设施完好，并即时结清水费、电费、燃气费、有线电视费等费用。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公共租赁住房及其共用部位、共用设施设备的维修、养护，由县城乡建设发展服务中心或公共租赁住房管理机构负责。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公共租赁住房及其共用部位、共用设施设备的维修养护费用，主要通过配租住房及其配套商业服务设施的租金收入解决，不足部分由地方财政预算安排解决</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政府与企业或其他社会投资主体共建的公共租赁住房及其共用部位、共用设施设备的维修养护费用，由共有产权人按照出资比例分别承担。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第九章 责任与监督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第四十八条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县住房和城乡建设局对全县公共租赁住房的建设、准入、分配、使用、退出、运营管理和租赁补贴发放等工作实施监督检查。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第四十九条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县城乡建设发展服务中心或公共租赁住房管理机构对公共租赁住房的使用情况，可采取以下措施实施监督检查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（一）询问与核查事项有关的单位和个人，要求其对与核查事项相关情况作出说明、提供相关证明资料</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（二）在至少一名成年家庭成员在场的情况下，进入公共租赁住房检查住房使用情况</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（三）查阅、记录、复制保障对象与住房保障工作相关的资料，了解其家庭成员、家庭收入和财产状况</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（四）对违反住房保障相关政策规定的行为予以制止并责令改正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（五）法律、法规规定的其他措施。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有关单位和个人应当配合监督检查，如实提供与公共租赁住房有关的资料，不得拒绝检查或者谎报、瞒报。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县城乡建设发展服务中心或公共租赁住房管理机构对在工作中知悉的公民个人信息应当予以保密，但依照有关法律、法规规定应当予以公开的除外。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租赁住房分配过程应当邀请人大代表、政协委员、公证处及新闻媒体等参与。县住房和城乡建设局、县城乡建设发展服务中心和其他有关部门、公共租赁住房管理机构及其工作人员行使职权，应当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第五十一条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县城乡建设发展服务中心在公共租赁住房的实物配租和租赁补贴发放过程中，应实行保障政策、审核程序、房源信息、保障对象、分配过程、分配结果、投诉处理等信息公开制度，主动接受社会和群众监督。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第五十二条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县城乡建设发展服务中心应当健全公共租赁住房档案管理制度，按住房保障对象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一户一档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、住房保障房源</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一套一档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要求完善纸质档案和电子档案，确保其完整、准确、安全和有效利用。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第五十三条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城乡建设发展服务中心要完善公共租赁住房信息系统建设，实现通过信息系统办理公共租赁住房申请、审核、分配、租赁补贴发放等业务，提升公共租赁住房管理的专业化水平。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第五十四条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县住房和城乡建设局、城乡建设发展服务中心及其他有关部门、公共租赁住房管理机构工作人员在住房保障工作中玩忽职守、徇私舞弊、滥用职权的，由同级纪检监察机关依法依规追究其责任</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第十章 附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xml:space="preserve"> </w:t>
      </w:r>
      <w:r>
        <w:rPr>
          <w:rFonts w:hint="eastAsia" w:ascii="黑体" w:hAnsi="宋体" w:eastAsia="黑体" w:cs="黑体"/>
          <w:i w:val="0"/>
          <w:iCs w:val="0"/>
          <w:caps w:val="0"/>
          <w:color w:val="333333"/>
          <w:spacing w:val="0"/>
          <w:kern w:val="0"/>
          <w:sz w:val="32"/>
          <w:szCs w:val="32"/>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第五十五</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条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本细则由玉山县住房和城乡建设局负责解释，未尽事宜按国家和省、市有关规定执行。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第五十六条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政策性租赁住房和共有产权住房不适用本细则。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shd w:val="clear" w:fill="FFFFFF"/>
          <w:lang w:val="en-US" w:eastAsia="zh-CN" w:bidi="ar"/>
        </w:rPr>
        <w:t>第五十七条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本细则自</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年</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9</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月</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日起施行。若本细则与之前颁布的公共租赁住房有冲突的，参照本细则执行，如有未尽事宜的，可参照之前规定。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92355"/>
    <w:rsid w:val="222237E2"/>
    <w:rsid w:val="40D1566A"/>
    <w:rsid w:val="67C774F2"/>
    <w:rsid w:val="6BF2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Allison</cp:lastModifiedBy>
  <dcterms:modified xsi:type="dcterms:W3CDTF">2023-02-15T08:10:25Z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C6F15688508B460BBCDCF0B7DDAE6EC0</vt:lpwstr>
  </property>
</Properties>
</file>