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562" w:firstLineChars="200"/>
        <w:jc w:val="center"/>
        <w:textAlignment w:val="auto"/>
        <w:rPr>
          <w:b/>
          <w:bCs/>
          <w:sz w:val="22"/>
          <w:szCs w:val="28"/>
        </w:rPr>
      </w:pPr>
      <w:bookmarkStart w:id="0" w:name="_GoBack"/>
      <w:r>
        <w:rPr>
          <w:rFonts w:hint="eastAsia" w:ascii="宋体" w:hAnsi="宋体" w:eastAsia="宋体" w:cs="宋体"/>
          <w:b/>
          <w:bCs/>
          <w:kern w:val="2"/>
          <w:sz w:val="28"/>
          <w:szCs w:val="28"/>
          <w:lang w:val="en-US" w:eastAsia="zh-CN" w:bidi="ar"/>
        </w:rPr>
        <w:t>中华人民共和国国务院令</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562" w:firstLineChars="200"/>
        <w:jc w:val="center"/>
        <w:textAlignment w:val="auto"/>
        <w:rPr>
          <w:b/>
          <w:bCs/>
          <w:sz w:val="22"/>
          <w:szCs w:val="28"/>
        </w:rPr>
      </w:pPr>
      <w:r>
        <w:rPr>
          <w:rFonts w:hint="eastAsia" w:ascii="宋体" w:hAnsi="宋体" w:eastAsia="宋体" w:cs="宋体"/>
          <w:b/>
          <w:bCs/>
          <w:kern w:val="2"/>
          <w:sz w:val="28"/>
          <w:szCs w:val="28"/>
          <w:lang w:val="en-US" w:eastAsia="zh-CN" w:bidi="ar"/>
        </w:rPr>
        <w:t>第743号</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《中华人民共和国土地管理法实施条例》已经2021年4月21日国务院第132次常务会议修订通过，现予公布，自2021年9月1日起施行。</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00" w:lineRule="exact"/>
        <w:ind w:left="0" w:right="0" w:firstLine="480" w:firstLineChars="200"/>
        <w:jc w:val="right"/>
        <w:textAlignment w:val="auto"/>
      </w:pPr>
      <w:r>
        <w:rPr>
          <w:rFonts w:hint="eastAsia" w:ascii="宋体" w:hAnsi="宋体" w:eastAsia="宋体" w:cs="宋体"/>
          <w:kern w:val="2"/>
          <w:sz w:val="24"/>
          <w:szCs w:val="24"/>
          <w:lang w:val="en-US" w:eastAsia="zh-CN" w:bidi="ar"/>
        </w:rPr>
        <w:t> </w:t>
      </w:r>
      <w:r>
        <w:rPr>
          <w:rFonts w:asciiTheme="minorHAnsi" w:hAnsiTheme="minorHAnsi" w:eastAsiaTheme="minorEastAsia" w:cstheme="minorBidi"/>
          <w:kern w:val="0"/>
          <w:sz w:val="24"/>
          <w:szCs w:val="24"/>
          <w:lang w:val="en-US" w:eastAsia="zh-CN" w:bidi="ar"/>
        </w:rPr>
        <w:t>总理　李克强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right"/>
        <w:textAlignment w:val="auto"/>
      </w:pPr>
      <w:r>
        <w:rPr>
          <w:rFonts w:hint="eastAsia" w:ascii="宋体" w:hAnsi="宋体" w:eastAsia="宋体" w:cs="宋体"/>
          <w:kern w:val="2"/>
          <w:sz w:val="24"/>
          <w:szCs w:val="24"/>
          <w:lang w:val="en-US" w:eastAsia="zh-CN" w:bidi="ar"/>
        </w:rPr>
        <w:t>2021年7月2日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2" w:firstLineChars="200"/>
        <w:jc w:val="center"/>
        <w:textAlignment w:val="auto"/>
        <w:rPr>
          <w:b/>
          <w:bCs/>
        </w:rPr>
      </w:pPr>
      <w:r>
        <w:rPr>
          <w:rFonts w:hint="eastAsia" w:ascii="宋体" w:hAnsi="宋体" w:eastAsia="宋体" w:cs="宋体"/>
          <w:b/>
          <w:bCs/>
          <w:kern w:val="2"/>
          <w:sz w:val="24"/>
          <w:szCs w:val="24"/>
          <w:lang w:val="en-US" w:eastAsia="zh-CN" w:bidi="ar"/>
        </w:rPr>
        <w:t>中华人民共和国土地管理法实施条例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（1998年12月27日中华人民共和国国务院令第256号发布 根据2011年1月8日《国务院关于废止和修改部分行政法规的决定》第一次修订 根据2014年7月29日《国务院关于修改部分行政法规的决定》第二次修订 2021年7月2日中华人民共和国国务院令第743号第三次修订）</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第一章 总  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第一条 根据《中华人民共和国土地管理法》（以下简称《土地管理法》），制定本条例。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第二章 国土空间规划</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第二条 国家建立国土空间规划体系。</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土地开发、保护、建设活动应当坚持规划先行。经依法批准的国土空间规划是各类开发、保护、建设活动的基本依据。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已经编制国土空间规划的，不再编制土地利用总体规划和城乡规划。在编制国土空间规划前，经依法批准的土地利用总体规划和城乡规划继续执行。</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第三条 国土空间规划应当细化落实国家发展规划提出的国土空间开发保护要求，统筹布局农业、生态、城镇等功能空间，划定落实永久基本农田、生态保护红线和城镇开发边界。</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国土空间规划应当包括国土空间开发保护格局和规划用地布局、结构、用途管制要求等内容，明确耕地保有量、建设用地规模、禁止开垦的范围等要求，统筹基础设施和公共设施用地布局，综合利用地上地下空间，合理确定并严格控制新增建设用地规模，提高土地节约集约利用水平，保障土地的可持续利用。</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第四条 土地调查应当包括下列内容：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（一）土地权属以及变化情况；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（二）土地利用现状以及变化情况；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（三）土地条件。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全国土地调查成果，报国务院批准后向社会公布。地方土地调查成果，经本级人民政府审核，报上一级人民政府批准后向社会公布。全国土地调查成果公布后，县级以上地方人民政府方可自上而下逐级依次公布本行政区域的土地调查成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土地调查成果是编制国土空间规划以及自然资源管理、保护和利用的重要依据。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土地调查技术规程由国务院自然资源主管部门会同有关部门制定。</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第五条 国务院自然资源主管部门会同有关部门制定土地等级评定标准。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县级以上人民政府自然资源主管部门应当会同有关部门根据土地等级评定标准，对土地等级进行评定。地方土地等级评定结果经本级人民政府审核，报上一级人民政府自然资源主管部门批准后向社会公布。</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根据国民经济和社会发展状况，土地等级每五年重新评定一次。</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第六条 县级以上人民政府自然资源主管部门应当加强信息化建设，建立统一的国土空间基础信息平台，实行土地管理全流程信息化管理，对土地利用状况进行动态监测，与发展改革、住房和城乡建设等有关部门建立土地管理信息共享机制，依法公开土地管理信息。</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第七条 县级以上人民政府自然资源主管部门应当加强地籍管理，建立健全地籍数据库。</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第三章 耕地保护</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第八条 国家实行占用耕地补偿制度。在国土空间规划确定的城市和村庄、集镇建设用地范围内经依法批准占用耕地，以及在国土空间规划确定的城市和村庄、集镇建设用地范围外的能源、交通、水利、矿山、军事设施等建设项目经依法批准占用耕地的，分别由县级人民政府、农村集体经济组织和建设单位负责开垦与所占用耕地的数量和质量相当的耕地；没有条件开垦或者开垦的耕地不符合要求的，应当按照省、自治区、直辖市的规定缴纳耕地开垦费，专款用于开垦新的耕地。</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省、自治区、直辖市人民政府应当组织自然资源主管部门、农业农村主管部门对开垦的耕地进行验收，确保开垦的耕地落实到地块。划入永久基本农田的还应当纳入国家永久基本农田数据库严格管理。占用耕地补充情况应当按照国家有关规定向社会公布。</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个别省、直辖市需要易地开垦耕地的，依照《土地管理法》第三十二条的规定执行。</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第九条 禁止任何单位和个人在国土空间规划确定的禁止开垦的范围内从事土地开发活动。</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按照国土空间规划，开发未确定土地使用权的国有荒山、荒地、荒滩从事种植业、林业、畜牧业、渔业生产的，应当向土地所在地的县级以上地方人民政府自然资源主管部门提出申请，按照省、自治区、直辖市规定的权限，由县级以上地方人民政府批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第十条 县级人民政府应当按照国土空间规划关于统筹布局农业、生态、城镇等功能空间的要求，制定土地整理方案，促进耕地保护和土地节约集约利用。</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县、乡（镇）人民政府应当组织农村集体经济组织，实施土地整理方案，对闲散地和废弃地有计划地整治、改造。土地整理新增耕地，可以用作建设所占用耕地的补充。</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鼓励社会主体依法参与土地整理。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第十一条 县级以上地方人民政府应当采取措施，预防和治理耕地土壤流失、污染，有计划地改造中低产田，建设高标准农田，提高耕地质量，保护黑土地等优质耕地，并依法对建设所占用耕地耕作层的土壤利用作出合理安排。</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非农业建设依法占用永久基本农田的，建设单位应当按照省、自治区、直辖市的规定，将所占用耕地耕作层的土壤用于新开垦耕地、劣质地或者其他耕地的土壤改良。</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县级以上地方人民政府应当加强对农业结构调整的引导和管理，防止破坏耕地耕作层；设施农业用地不再使用的，应当及时组织恢复种植条件。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第十二条 国家对耕地实行特殊保护，严守耕地保护红线，严格控制耕地转为林地、草地、园地等其他农用地，并建立耕地保护补偿制度，具体办法和耕地保护补偿实施步骤由国务院自然资源主管部门会同有关部门规定。</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非农业建设必须节约使用土地，可以利用荒地的，不得占用耕地；可以利用劣地的，不得占用好地。禁止占用耕地建窑、建坟或者擅自在耕地上建房、挖砂、采石、采矿、取土等。禁止占用永久基本农田发展林果业和挖塘养鱼。</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耕地应当优先用于粮食和棉、油、糖、蔬菜等农产品生产。按照国家有关规定需要将耕地转为林地、草地、园地等其他农用地的，应当优先使用难以长期稳定利用的耕地。</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第十三条 省、自治区、直辖市人民政府对本行政区域耕地保护负总责，其主要负责人是本行政区域耕地保护的第一责任人。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省、自治区、直辖市人民政府应当将国务院确定的耕地保有量和永久基本农田保护任务分解下达，落实到具体地块。</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国务院对省、自治区、直辖市人民政府耕地保护责任目标落实情况进行考核。</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第四章 建设用地</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第一节 一般规定</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第十四条 建设项目需要使用土地的，应当符合国土空间规划、土地利用年度计划和用途管制以及节约资源、保护生态环境的要求，并严格执行建设用地标准，优先使用存量建设用地，提高建设用地使用效率。</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从事土地开发利用活动，应当采取有效措施，防止、减少土壤污染，并确保建设用地符合土壤环境质量要求。</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第十五条 各级人民政府应当依据国民经济和社会发展规划及年度计划、国土空间规划、国家产业政策以及城乡建设、土地利用的实际状况等，加强土地利用计划管理，实行建设用地总量控制，推动城乡存量建设用地开发利用，引导城镇低效用地再开发，落实建设用地标准控制制度，开展节约集约用地评价，推广应用节地技术和节地模式。</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第十六条 县级以上地方人民政府自然资源主管部门应当将本级人民政府确定的年度建设用地供应总量、结构、时序、地块、用途等在政府网站上向社会公布，供社会公众查阅。</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第十七条 建设单位使用国有土地，应当以有偿使用方式取得；但是，法律、行政法规规定可以以划拨方式取得的除外。</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国有土地有偿使用的方式包括：</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（一）国有土地使用权出让；</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（二）国有土地租赁；</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（三）国有土地使用权作价出资或者入股。</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第十八条 国有土地使用权出让、国有土地租赁等应当依照国家有关规定通过公开的交易平台进行交易，并纳入统一的公共资源交易平台体系。除依法可以采取协议方式外，应当采取招标、拍卖、挂牌等竞争性方式确定土地使用者。</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第十九条 《土地管理法》第五十五条规定的新增建设用地的土地有偿使用费，是指国家在新增建设用地中应取得的平均土地纯收益。</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第二十条 建设项目施工、地质勘查需要临时使用土地的，应当尽量不占或者少占耕地。</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临时用地由县级以上人民政府自然资源主管部门批准，期限一般不超过二年；建设周期较长的能源、交通、水利等基础设施建设使用的临时用地，期限不超过四年；法律、行政法规另有规定的除外。</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土地使用者应当自临时用地期满之日起一年内完成土地复垦，使其达到可供利用状态，其中占用耕地的应当恢复种植条件。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第二十一条 抢险救灾、疫情防控等急需使用土地的，可以先行使用土地。其中，属于临时用地的，用后应当恢复原状并交还原土地使用者使用，不再办理用地审批手续；属于永久性建设用地的，建设单位应当在不晚于应急处置工作结束六个月内申请补办建设用地审批手续。</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第二十二条 具有重要生态功能的未利用地应当依法划入生态保护红线，实施严格保护。</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建设项目占用国土空间规划确定的未利用地的，按照省、自治区、直辖市的规定办理。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第二节 农用地转用</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第二十三条 在国土空间规划确定的城市和村庄、集镇建设用地范围内，为实施该规划而将农用地转为建设用地的，由市、县人民政府组织自然资源等部门拟订农用地转用方案，分批次报有批准权的人民政府批准。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农用地转用方案应当重点对建设项目安排、是否符合国土空间规划和土地利用年度计划以及补充耕地情况作出说明。</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农用地转用方案经批准后，由市、县人民政府组织实施。</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第二十四条 建设项目确需占用国土空间规划确定的城市和村庄、集镇建设用地范围外的农用地，涉及占用永久基本农田的，由国务院批准；不涉及占用永久基本农田的，由国务院或者国务院授权的省、自治区、直辖市人民政府批准。具体按照下列规定办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一）建设项目批准、核准前或者备案前后，由自然资源主管部门对建设项目用地事项进行审查，提出建设项目用地预审意见。建设项目需要申请核发选址意见书的，应当合并办理建设项目用地预审与选址意见书，核发建设项目用地预审与选址意见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二）建设单位持建设项目的批准、核准或者备案文件，向市、县人民政府提出建设用地申请。市、县人民政府组织自然资源等部门拟订农用地转用方案，报有批准权的人民政府批准；依法应当由国务院批准的，由省、自治区、直辖市人民政府审核后上报。农用地转用方案应当重点对是否符合国土空间规划和土地利用年度计划以及补充耕地情况作出说明，涉及占用永久基本农田的，还应当对占用永久基本农田的必要性、合理性和补划可行性作出说明。</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（三）农用地转用方案经批准后，由市、县人民政府组织实施。</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第二十五条 建设项目需要使用土地的，建设单位原则上应当一次申请，办理建设用地审批手续，确需分期建设的项目，可以根据可行性研究报告确定的方案，分期申请建设用地，分期办理建设用地审批手续。建设过程中用地范围确需调整的，应当依法办理建设用地审批手续。</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农用地转用涉及征收土地的，还应当依法办理征收土地手续。</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第三节 土地征收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第二十六条 需要征收土地，县级以上地方人民政府认为符合《土地管理法》第四十五条规定的，应当发布征收土地预公告，并开展拟征收土地现状调查和社会稳定风险评估。</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征收土地预公告应当包括征收范围、征收目的、开展土地现状调查的安排等内容。征收土地预公告应当采用有利于社会公众知晓的方式，在拟征收土地所在的乡（镇）和村、村民小组范围内发布，预公告时间不少于十个工作日。自征收土地预公告发布之日起，任何单位和个人不得在拟征收范围内抢栽抢建；违反规定抢栽抢建的，对抢栽抢建部分不予补偿。</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土地现状调查应当查明土地的位置、权属、地类、面积，以及农村村民住宅、其他地上附着物和青苗等的权属、种类、数量等情况。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社会稳定风险评估应当对征收土地的社会稳定风险状况进行综合研判，确定风险点，提出风险防范措施和处置预案。社会稳定风险评估应当有被征地的农村集体经济组织及其成员、村民委员会和其他利害关系人参加，评估结果是申请征收土地的重要依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第二十七条 县级以上地方人民政府应当依据社会稳定风险评估结果，结合土地现状调查情况，组织自然资源、财政、农业农村、人力资源和社会保障等有关部门拟定征地补偿安置方案。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征地补偿安置方案应当包括征收范围、土地现状、征收目的、补偿方式和标准、安置对象、安置方式、社会保障等内容。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第二十八条 征地补偿安置方案拟定后，县级以上地方人民政府应当在拟征收土地所在的乡（镇）和村、村民小组范围内公告，公告时间不少于三十日。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征地补偿安置公告应当同时载明办理补偿登记的方式和期限、异议反馈渠道等内容。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多数被征地的农村集体经济组织成员认为拟定的征地补偿安置方案不符合法律、法规规定的，县级以上地方人民政府应当组织听证。</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第二十九条 县级以上地方人民政府根据法律、法规规定和听证会等情况确定征地补偿安置方案后，应当组织有关部门与拟征收土地的所有权人、使用权人签订征地补偿安置协议。征地补偿安置协议示范文本由省、自治区、直辖市人民政府制定。</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对个别确实难以达成征地补偿安置协议的，县级以上地方人民政府应当在申请征收土地时如实说明。</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第三十条 县级以上地方人民政府完成本条例规定的征地前期工作后，方可提出征收土地申请，依照《土地管理法》第四十六条的规定报有批准权的人民政府批准。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有批准权的人民政府应当对征收土地的必要性、合理性、是否符合《土地管理法》第四十五条规定的为了公共利益确需征收土地的情形以及是否符合法定程序进行审查。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第三十一条 征收土地申请经依法批准后，县级以上地方人民政府应当自收到批准文件之日起十五个工作日内在拟征收土地所在的乡（镇）和村、村民小组范围内发布征收土地公告，公布征收范围、征收时间等具体工作安排，对个别未达成征地补偿安置协议的应当作出征地补偿安置决定，并依法组织实施。</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第三十二条 省、自治区、直辖市应当制定公布区片综合地价，确定征收农用地的土地补偿费、安置补助费标准，并制定土地补偿费、安置补助费分配办法。</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地上附着物和青苗等的补偿费用，归其所有权人所有。</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社会保障费用主要用于符合条件的被征地农民的养老保险等社会保险缴费补贴，按照省、自治区、直辖市的规定单独列支。</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申请征收土地的县级以上地方人民政府应当及时落实土地补偿费、安置补助费、农村村民住宅以及其他地上附着物和青苗等的补偿费用、社会保障费用等，并保证足额到位，专款专用。有关费用未足额到位的，不得批准征收土地。</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第四节 宅基地管理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第三十三条 农村居民点布局和建设用地规模应当遵循节约集约、因地制宜的原则合理规划。县级以上地方人民政府应当按照国家规定安排建设用地指标，合理保障本行政区域农村村民宅基地需求。</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乡（镇）、县、市国土空间规划和村庄规划应当统筹考虑农村村民生产、生活需求，突出节约集约用地导向，科学划定宅基地范围。</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第三十四条 农村村民申请宅基地的，应当以户为单位向农村集体经济组织提出申请；没有设立农村集体经济组织的，应当向所在的村民小组或者村民委员会提出申请。宅基地申请依法经农村村民集体讨论通过并在本集体范围内公示后，报乡（镇）人民政府审核批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涉及占用农用地的，应当依法办理农用地转用审批手续。</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第三十五条 国家允许进城落户的农村村民依法自愿有偿退出宅基地。乡（镇）人民政府和农村集体经济组织、村民委员会等应当将退出的宅基地优先用于保障该农村集体经济组织成员的宅基地需求。</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第三十六条 依法取得的宅基地和宅基地上的农村村民住宅及其附属设施受法律保护。</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禁止违背农村村民意愿强制流转宅基地，禁止违法收回农村村民依法取得的宅基地，禁止以退出宅基地作为农村村民进城落户的条件，禁止强迫农村村民搬迁退出宅基地。</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第五节 集体经营性建设用地管理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第三十七条 国土空间规划应当统筹并合理安排集体经营性建设用地布局和用途，依法控制集体经营性建设用地规模，促进集体经营性建设用地的节约集约利用。</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鼓励乡村重点产业和项目使用集体经营性建设用地。</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第三十八条 国土空间规划确定为工业、商业等经营性用途，且已依法办理土地所有权登记的集体经营性建设用地，土地所有权人可以通过出让、出租等方式交由单位或者个人在一定年限内有偿使用。</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第三十九条 土地所有权人拟出让、出租集体经营性建设用地的，市、县人民政府自然资源主管部门应当依据国土空间规划提出拟出让、出租的集体经营性建设用地的规划条件，明确土地界址、面积、用途和开发建设强度等。</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市、县人民政府自然资源主管部门应当会同有关部门提出产业准入和生态环境保护要求。</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第四十条 土地所有权人应当依据规划条件、产业准入和生态环境保护要求等，编制集体经营性建设用地出让、出租等方案，并依照《土地管理法》第六十三条的规定，由本集体经济组织形成书面意见，在出让、出租前不少于十个工作日报市、县人民政府。市、县人民政府认为该方案不符合规划条件或者产业准入和生态环境保护要求等的，应当在收到方案后五个工作日内提出修改意见。土地所有权人应当按照市、县人民政府的意见进行修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集体经营性建设用地出让、出租等方案应当载明宗地的土地界址、面积、用途、规划条件、产业准入和生态环境保护要求、使用期限、交易方式、入市价格、集体收益分配安排等内容。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第四十一条 土地所有权人应当依据集体经营性建设用地出让、出租等方案，以招标、拍卖、挂牌或者协议等方式确定土地使用者，双方应当签订书面合同，载明土地界址、面积、用途、规划条件、使用期限、交易价款支付、交地时间和开工竣工期限、产业准入和生态环境保护要求，约定提前收回的条件、补偿方式、土地使用权届满续期和地上建筑物、构筑物等附着物处理方式，以及违约责任和解决争议的方法等，并报市、县人民政府自然资源主管部门备案。未依法将规划条件、产业准入和生态环境保护要求纳入合同的，合同无效；造成损失的，依法承担民事责任。合同示范文本由国务院自然资源主管部门制定。</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第四十二条 集体经营性建设用地使用者应当按照约定及时支付集体经营性建设用地价款，并依法缴纳相关税费，对集体经营性建设用地使用权以及依法利用集体经营性建设用地建造的建筑物、构筑物及其附属设施的所有权，依法申请办理不动产登记。</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第四十三条 通过出让等方式取得的集体经营性建设用地使用权依法转让、互换、出资、赠与或者抵押的，双方应当签订书面合同，并书面通知土地所有权人。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集体经营性建设用地的出租，集体建设用地使用权的出让及其最高年限、转让、互换、出资、赠与、抵押等，参照同类用途的国有建设用地执行，法律、行政法规另有规定的除外。</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第五章 监督检查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第四十四条 国家自然资源督察机构根据授权对省、自治区、直辖市人民政府以及国务院确定的城市人民政府下列土地利用和土地管理情况进行督察：</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（一）耕地保护情况；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（二）土地节约集约利用情况；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（三）国土空间规划编制和实施情况；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（四）国家有关土地管理重大决策落实情况；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（五）土地管理法律、行政法规执行情况；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（六）其他土地利用和土地管理情况。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第四十五条 国家自然资源督察机构进行督察时，有权向有关单位和个人了解督察事项有关情况，有关单位和个人应当支持、协助督察机构工作，如实反映情况，并提供有关材料。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第四十六条 被督察的地方人民政府违反土地管理法律、行政法规，或者落实国家有关土地管理重大决策不力的，国家自然资源督察机构可以向被督察的地方人民政府下达督察意见书，地方人民政府应当认真组织整改，并及时报告整改情况；国家自然资源督察机构可以约谈被督察的地方人民政府有关负责人，并可以依法向监察机关、任免机关等有关机关提出追究相关责任人责任的建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第四十七条 土地管理监督检查人员应当经过培训，经考核合格，取得行政执法证件后，方可从事土地管理监督检查工作。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第四十八条 自然资源主管部门、农业农村主管部门按照职责分工进行监督检查时，可以采取下列措施：</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（一）</w:t>
      </w:r>
      <w:r>
        <w:rPr>
          <w:rFonts w:hint="eastAsia" w:ascii="宋体" w:hAnsi="宋体" w:eastAsia="宋体" w:cs="宋体"/>
          <w:kern w:val="2"/>
          <w:sz w:val="24"/>
          <w:szCs w:val="24"/>
          <w:lang w:val="en-US" w:eastAsia="zh-CN" w:bidi="ar"/>
        </w:rPr>
        <w:t>询问违法案件涉及的单位或者个人；</w:t>
      </w:r>
    </w:p>
    <w:p>
      <w:pPr>
        <w:keepNext w:val="0"/>
        <w:keepLines w:val="0"/>
        <w:pageBreakBefore w:val="0"/>
        <w:widowControl w:val="0"/>
        <w:numPr>
          <w:numId w:val="0"/>
        </w:numPr>
        <w:suppressLineNumbers w:val="0"/>
        <w:kinsoku/>
        <w:wordWrap/>
        <w:overflowPunct/>
        <w:topLinePunct w:val="0"/>
        <w:autoSpaceDE w:val="0"/>
        <w:autoSpaceDN/>
        <w:bidi w:val="0"/>
        <w:adjustRightInd/>
        <w:snapToGrid/>
        <w:spacing w:before="0" w:beforeAutospacing="0" w:after="0" w:afterAutospacing="0" w:line="500" w:lineRule="exact"/>
        <w:ind w:right="0" w:rightChars="0" w:firstLine="480" w:firstLineChars="200"/>
        <w:jc w:val="left"/>
        <w:textAlignment w:val="auto"/>
      </w:pPr>
      <w:r>
        <w:rPr>
          <w:rFonts w:hint="eastAsia" w:ascii="宋体" w:hAnsi="宋体" w:eastAsia="宋体" w:cs="宋体"/>
          <w:kern w:val="2"/>
          <w:sz w:val="24"/>
          <w:szCs w:val="24"/>
          <w:lang w:val="en-US" w:eastAsia="zh-CN" w:bidi="ar"/>
        </w:rPr>
        <w:t>（二）进入被检查单位或者个人涉嫌土地违法的现场进行拍照、摄像；</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（三）责令当事人停止正在进行的土地违法行为；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（四）对涉嫌土地违法的单位或者个人，在调查期间暂停办理与该违法案件相关的土地审批、登记等手续；</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（五）对可能被转移、销毁、隐匿或者篡改的文件、资料予以封存，责令涉嫌土地违法的单位或者个人在调查期间不得变卖、转移与案件有关的财物；</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（六）《土地管理法》第六十八条规定的其他监督检查措施。</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第四十九条 依照《土地管理法》第七十三条的规定给予处分的，应当按照管理权限由责令作出行政处罚决定或者直接给予行政处罚的上级人民政府自然资源主管部门或者其他任免机关、单位作出。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第五十条 县级以上人民政府自然资源主管部门应当会同有关部门建立信用监管、动态巡查等机制，加强对建设用地供应交易和供后开发利用的监管，对建设用地市场重大失信行为依法实施惩戒，并依法公开相关信息。</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第六章 法律责任</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第五十一条 违反《土地管理法》第三十七条的规定，非法占用永久基本农田发展林果业或者挖塘养鱼的，由县级以上人民政府自然资源主管部门责令限期改正；逾期不改正的，按占用面积处耕地开垦费2倍以上5倍以下的罚款；破坏种植条件的，依照《土地管理法》第七十五条的规定处罚。</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第五十二条 违反《土地管理法》第五十七条的规定，在临时使用的土地上修建永久性建筑物的，由县级以上人民政府自然资源主管部门责令限期拆除，按占用面积处土地复垦费5倍以上10倍以下的罚款；逾期不拆除的，由作出行政决定的机关依法申请人民法院强制执行。</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第五十三条 违反《土地管理法》第六十五条的规定，对建筑物、构筑物进行重建、扩建的，由县级以上人民政府自然资源主管部门责令限期拆除；逾期不拆除的，由作出行政决定的机关依法申请人民法院强制执行。</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第五十四条 依照《土地管理法》第七十四条的规定处以罚款的，罚款额为违法所得的10%以上50%以下。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第五十五条 依照《土地管理法》第七十五条的规定处以罚款的，罚款额为耕地开垦费的5倍以上10倍以下；破坏黑土地等优质耕地的，从重处罚。</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第五十六条 依照《土地管理法》第七十六条的规定处以罚款的，罚款额为土地复垦费的2倍以上5倍以下。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违反本条例规定，临时用地期满之日起一年内未完成复垦或者未恢复种植条件的，由县级以上人民政府自然资源主管部门责令限期改正，依照《土地管理法》第七十六条的规定处罚，并由县级以上人民政府自然资源主管部门会同农业农村主管部门代为完成复垦或者恢复种植条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第五十七条 依照《土地管理法》第七十七条的规定处以罚款的，罚款额为非法占用土地每平方米100元以上1000元以下。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违反本条例规定，在国土空间规划确定的禁止开垦的范围内从事土地开发活动的，由县级以上人民政府自然资源主管部门责令限期改正，并依照《土地管理法》第七十七条的规定处罚。</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第五十八条 依照《土地管理法》第七十四条、第七十七条的规定，县级以上人民政府自然资源主管部门没收在非法转让或者非法占用的土地上新建的建筑物和其他设施的，应当于九十日内交由本级人民政府或者其指定的部门依法管理和处置。第五十九条 依照《土地管理法》第八十一条的规定处以罚款的，罚款额为非法占用土地每平方米100元以上500元以下。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第六十条 依照《土地管理法》第八十二条的规定处以罚款的，罚款额为违法所得的10%以上30%以下。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第六十一条 阻碍自然资源主管部门、农业农村主管部门的工作人员依法执行职务，构成违反治安管理行为的，依法给予治安管理处罚。</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第六十二条 违反土地管理法律、法规规定，阻挠国家建设征收土地的，由县级以上地方人民政府责令交出土地；拒不交出土地的，依法申请人民法院强制执行。</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第六十三条 违反本条例规定，侵犯农村村民依法取得的宅基地权益的，责令限期改正，对有关责任单位通报批评、给予警告；造成损失的，依法承担赔偿责任；对直接负责的主管人员和其他直接责任人员，依法给予处分。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第六十四条 贪污、侵占、挪用、私分、截留、拖欠征地补偿安置费用和其他有关费用的，责令改正，追回有关款项，限期退还违法所得，对有关责任单位通报批评、给予警告；造成损失的，依法承担赔偿责任；对直接负责的主管人员和其他直接责任人员，依法给予处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 xml:space="preserve">  第六十五条 各级人民政府及自然资源主管部门、农业农村主管部门工作人员玩忽职守、滥用职权、徇私舞弊的，依法给予处分。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第六十六条 违反本条例规定，构成犯罪的，依法追究刑事责任。</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pPr>
      <w:r>
        <w:rPr>
          <w:rFonts w:hint="eastAsia" w:ascii="宋体" w:hAnsi="宋体" w:eastAsia="宋体" w:cs="宋体"/>
          <w:kern w:val="2"/>
          <w:sz w:val="24"/>
          <w:szCs w:val="24"/>
          <w:lang w:val="en-US" w:eastAsia="zh-CN" w:bidi="ar"/>
        </w:rPr>
        <w:t>第七章 附  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left"/>
        <w:textAlignment w:val="auto"/>
        <w:rPr>
          <w:rFonts w:hint="default"/>
          <w:lang w:val="en-US" w:eastAsia="zh-CN"/>
        </w:rPr>
      </w:pPr>
      <w:r>
        <w:rPr>
          <w:rFonts w:hint="eastAsia" w:ascii="宋体" w:hAnsi="宋体" w:eastAsia="宋体" w:cs="宋体"/>
          <w:kern w:val="2"/>
          <w:sz w:val="24"/>
          <w:szCs w:val="24"/>
          <w:lang w:val="en-US" w:eastAsia="zh-CN" w:bidi="ar"/>
        </w:rPr>
        <w:t>第六十七条 本条例自2021年9月1日起施行。</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74671"/>
    <w:rsid w:val="08122085"/>
    <w:rsid w:val="094913D8"/>
    <w:rsid w:val="130A061A"/>
    <w:rsid w:val="136A7004"/>
    <w:rsid w:val="1C1442B7"/>
    <w:rsid w:val="50BB4E37"/>
    <w:rsid w:val="53274671"/>
    <w:rsid w:val="6ED12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2021-12-15T07:15:00Z</dcterms:created>
  <dc:creator>lenovo</dc:creator>
  <cp:lastModifiedBy>lenovo</cp:lastModifiedBy>
  <dcterms:modified xsi:type="dcterms:W3CDTF">2021-12-15T07:55:06Z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37479B443FCE46CA811CCEA78FD9EE10</vt:lpwstr>
  </property>
</Properties>
</file>